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1" w:rsidRDefault="00324F91">
      <w:pPr>
        <w:rPr>
          <w:sz w:val="28"/>
          <w:szCs w:val="28"/>
          <w:lang w:val="uk-UA"/>
        </w:rPr>
      </w:pPr>
    </w:p>
    <w:p w:rsidR="0070731B" w:rsidRDefault="0070731B" w:rsidP="0070731B">
      <w:pPr>
        <w:shd w:val="clear" w:color="auto" w:fill="FFFFFF"/>
        <w:ind w:left="4956"/>
        <w:outlineLvl w:val="1"/>
        <w:rPr>
          <w:b/>
          <w:sz w:val="28"/>
          <w:szCs w:val="28"/>
          <w:lang w:val="uk-UA"/>
        </w:rPr>
      </w:pPr>
      <w:r>
        <w:rPr>
          <w:lang w:val="uk-UA"/>
        </w:rPr>
        <w:tab/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</w:p>
    <w:p w:rsidR="0070731B" w:rsidRPr="0070731B" w:rsidRDefault="0070731B" w:rsidP="0070731B">
      <w:pPr>
        <w:shd w:val="clear" w:color="auto" w:fill="FFFFFF"/>
        <w:ind w:left="4956"/>
        <w:outlineLvl w:val="1"/>
        <w:rPr>
          <w:sz w:val="28"/>
          <w:szCs w:val="28"/>
          <w:lang w:val="uk-UA"/>
        </w:rPr>
      </w:pPr>
      <w:r w:rsidRPr="0070731B">
        <w:rPr>
          <w:sz w:val="28"/>
          <w:szCs w:val="28"/>
          <w:lang w:val="uk-UA"/>
        </w:rPr>
        <w:t xml:space="preserve">   ЗАТВЕРДЖЕНО</w:t>
      </w:r>
    </w:p>
    <w:p w:rsidR="0070731B" w:rsidRPr="0070731B" w:rsidRDefault="0070731B" w:rsidP="0070731B">
      <w:pPr>
        <w:shd w:val="clear" w:color="auto" w:fill="FFFFFF"/>
        <w:ind w:left="4956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731B">
        <w:rPr>
          <w:sz w:val="28"/>
          <w:szCs w:val="28"/>
          <w:lang w:val="uk-UA"/>
        </w:rPr>
        <w:t xml:space="preserve">рішення тридцять </w:t>
      </w:r>
      <w:r>
        <w:rPr>
          <w:sz w:val="28"/>
          <w:szCs w:val="28"/>
          <w:lang w:val="uk-UA"/>
        </w:rPr>
        <w:t>сьомої</w:t>
      </w:r>
      <w:r w:rsidRPr="0070731B">
        <w:rPr>
          <w:sz w:val="28"/>
          <w:szCs w:val="28"/>
          <w:lang w:val="uk-UA"/>
        </w:rPr>
        <w:t xml:space="preserve"> сесії </w:t>
      </w:r>
    </w:p>
    <w:p w:rsidR="0070731B" w:rsidRPr="0070731B" w:rsidRDefault="0070731B" w:rsidP="0070731B">
      <w:pPr>
        <w:shd w:val="clear" w:color="auto" w:fill="FFFFFF"/>
        <w:ind w:left="4956"/>
        <w:outlineLvl w:val="1"/>
        <w:rPr>
          <w:sz w:val="28"/>
          <w:szCs w:val="28"/>
          <w:lang w:val="uk-UA"/>
        </w:rPr>
      </w:pPr>
      <w:r w:rsidRPr="0070731B">
        <w:rPr>
          <w:sz w:val="28"/>
          <w:szCs w:val="28"/>
          <w:lang w:val="uk-UA"/>
        </w:rPr>
        <w:t xml:space="preserve">   сьомого скликання </w:t>
      </w:r>
    </w:p>
    <w:p w:rsidR="0070731B" w:rsidRPr="0070731B" w:rsidRDefault="0070731B" w:rsidP="0070731B">
      <w:pPr>
        <w:shd w:val="clear" w:color="auto" w:fill="FFFFFF"/>
        <w:ind w:left="4248" w:firstLine="708"/>
        <w:outlineLvl w:val="1"/>
        <w:rPr>
          <w:sz w:val="28"/>
          <w:szCs w:val="28"/>
          <w:lang w:val="uk-UA"/>
        </w:rPr>
      </w:pPr>
      <w:r w:rsidRPr="0070731B">
        <w:rPr>
          <w:sz w:val="28"/>
          <w:szCs w:val="28"/>
          <w:lang w:val="uk-UA"/>
        </w:rPr>
        <w:t xml:space="preserve">   Срібнянської селищної ради </w:t>
      </w:r>
    </w:p>
    <w:p w:rsidR="0070731B" w:rsidRPr="0070731B" w:rsidRDefault="0070731B" w:rsidP="0070731B">
      <w:pPr>
        <w:rPr>
          <w:sz w:val="28"/>
          <w:szCs w:val="28"/>
          <w:lang w:val="uk-UA"/>
        </w:rPr>
      </w:pPr>
      <w:r w:rsidRPr="0070731B">
        <w:rPr>
          <w:sz w:val="28"/>
          <w:szCs w:val="28"/>
          <w:lang w:val="uk-UA"/>
        </w:rPr>
        <w:t xml:space="preserve">                                                                          від </w:t>
      </w:r>
      <w:r>
        <w:rPr>
          <w:sz w:val="28"/>
          <w:szCs w:val="28"/>
          <w:lang w:val="uk-UA"/>
        </w:rPr>
        <w:t>21</w:t>
      </w:r>
      <w:r w:rsidRPr="00707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70731B">
        <w:rPr>
          <w:sz w:val="28"/>
          <w:szCs w:val="28"/>
          <w:lang w:val="uk-UA"/>
        </w:rPr>
        <w:t xml:space="preserve"> 2020 року                                                                 </w:t>
      </w:r>
    </w:p>
    <w:p w:rsidR="00324F91" w:rsidRDefault="007E78F0" w:rsidP="0070731B">
      <w:pPr>
        <w:tabs>
          <w:tab w:val="left" w:pos="3165"/>
          <w:tab w:val="left" w:pos="5400"/>
          <w:tab w:val="right" w:pos="9354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324F91" w:rsidRDefault="00324F91">
      <w:pPr>
        <w:tabs>
          <w:tab w:val="left" w:pos="3165"/>
        </w:tabs>
        <w:jc w:val="right"/>
        <w:rPr>
          <w:lang w:val="uk-UA"/>
        </w:rPr>
      </w:pPr>
    </w:p>
    <w:p w:rsidR="00324F91" w:rsidRDefault="00324F91">
      <w:pPr>
        <w:tabs>
          <w:tab w:val="left" w:pos="3165"/>
        </w:tabs>
        <w:jc w:val="center"/>
        <w:rPr>
          <w:sz w:val="28"/>
          <w:szCs w:val="28"/>
          <w:lang w:val="uk-UA"/>
        </w:rPr>
      </w:pPr>
    </w:p>
    <w:p w:rsidR="00324F91" w:rsidRDefault="00324F91">
      <w:pPr>
        <w:tabs>
          <w:tab w:val="left" w:pos="3165"/>
        </w:tabs>
        <w:jc w:val="center"/>
        <w:rPr>
          <w:sz w:val="28"/>
          <w:szCs w:val="28"/>
          <w:lang w:val="uk-UA"/>
        </w:rPr>
      </w:pPr>
    </w:p>
    <w:p w:rsidR="00324F91" w:rsidRDefault="00324F91">
      <w:pPr>
        <w:tabs>
          <w:tab w:val="left" w:pos="3165"/>
        </w:tabs>
        <w:jc w:val="center"/>
        <w:rPr>
          <w:sz w:val="28"/>
          <w:szCs w:val="28"/>
          <w:lang w:val="uk-UA"/>
        </w:rPr>
      </w:pPr>
    </w:p>
    <w:p w:rsidR="00324F91" w:rsidRDefault="00324F91">
      <w:pPr>
        <w:tabs>
          <w:tab w:val="left" w:pos="3165"/>
        </w:tabs>
        <w:jc w:val="center"/>
        <w:rPr>
          <w:sz w:val="28"/>
          <w:szCs w:val="28"/>
          <w:lang w:val="uk-UA"/>
        </w:rPr>
      </w:pPr>
    </w:p>
    <w:p w:rsidR="00324F91" w:rsidRDefault="00324F91">
      <w:pPr>
        <w:tabs>
          <w:tab w:val="left" w:pos="3165"/>
        </w:tabs>
        <w:jc w:val="center"/>
        <w:rPr>
          <w:sz w:val="28"/>
          <w:szCs w:val="28"/>
          <w:lang w:val="uk-UA"/>
        </w:rPr>
      </w:pPr>
    </w:p>
    <w:p w:rsidR="0070731B" w:rsidRDefault="0070731B">
      <w:pPr>
        <w:tabs>
          <w:tab w:val="left" w:pos="3165"/>
        </w:tabs>
        <w:jc w:val="center"/>
        <w:rPr>
          <w:sz w:val="28"/>
          <w:szCs w:val="28"/>
          <w:lang w:val="uk-UA"/>
        </w:rPr>
      </w:pPr>
    </w:p>
    <w:p w:rsidR="00324F91" w:rsidRDefault="00324F91">
      <w:pPr>
        <w:tabs>
          <w:tab w:val="left" w:pos="3165"/>
        </w:tabs>
        <w:jc w:val="center"/>
        <w:rPr>
          <w:b/>
          <w:sz w:val="28"/>
          <w:szCs w:val="28"/>
          <w:lang w:val="uk-UA"/>
        </w:rPr>
      </w:pPr>
    </w:p>
    <w:p w:rsidR="0070731B" w:rsidRDefault="0070731B">
      <w:pPr>
        <w:tabs>
          <w:tab w:val="left" w:pos="316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Програма </w:t>
      </w:r>
    </w:p>
    <w:p w:rsidR="0070731B" w:rsidRDefault="0070731B">
      <w:pPr>
        <w:tabs>
          <w:tab w:val="left" w:pos="316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фінансової підтримки комунального некомерційного підприємства</w:t>
      </w:r>
      <w:r w:rsidR="007E78F0">
        <w:rPr>
          <w:b/>
          <w:caps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«</w:t>
      </w:r>
      <w:proofErr w:type="spellStart"/>
      <w:r>
        <w:rPr>
          <w:b/>
          <w:sz w:val="32"/>
          <w:szCs w:val="32"/>
          <w:lang w:val="uk-UA"/>
        </w:rPr>
        <w:t>Срібнянська</w:t>
      </w:r>
      <w:proofErr w:type="spellEnd"/>
      <w:r>
        <w:rPr>
          <w:b/>
          <w:sz w:val="32"/>
          <w:szCs w:val="32"/>
          <w:lang w:val="uk-UA"/>
        </w:rPr>
        <w:t xml:space="preserve">  центральна лікарня» </w:t>
      </w:r>
      <w:proofErr w:type="spellStart"/>
      <w:r>
        <w:rPr>
          <w:b/>
          <w:sz w:val="32"/>
          <w:szCs w:val="32"/>
          <w:lang w:val="uk-UA"/>
        </w:rPr>
        <w:t>Срібнянської</w:t>
      </w:r>
      <w:proofErr w:type="spellEnd"/>
      <w:r>
        <w:rPr>
          <w:b/>
          <w:sz w:val="32"/>
          <w:szCs w:val="32"/>
          <w:lang w:val="uk-UA"/>
        </w:rPr>
        <w:t xml:space="preserve">  </w:t>
      </w:r>
      <w:proofErr w:type="spellStart"/>
      <w:r>
        <w:rPr>
          <w:b/>
          <w:sz w:val="32"/>
          <w:szCs w:val="32"/>
          <w:lang w:val="uk-UA"/>
        </w:rPr>
        <w:t>селещної</w:t>
      </w:r>
      <w:proofErr w:type="spellEnd"/>
      <w:r>
        <w:rPr>
          <w:b/>
          <w:sz w:val="32"/>
          <w:szCs w:val="32"/>
          <w:lang w:val="uk-UA"/>
        </w:rPr>
        <w:t xml:space="preserve"> ради Чернігівської області </w:t>
      </w:r>
    </w:p>
    <w:p w:rsidR="00324F91" w:rsidRDefault="0070731B">
      <w:pPr>
        <w:tabs>
          <w:tab w:val="left" w:pos="316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2020 рік</w:t>
      </w:r>
    </w:p>
    <w:p w:rsidR="00324F91" w:rsidRDefault="00324F91">
      <w:pPr>
        <w:tabs>
          <w:tab w:val="left" w:pos="3165"/>
        </w:tabs>
        <w:rPr>
          <w:b/>
          <w:sz w:val="32"/>
          <w:szCs w:val="32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32"/>
          <w:szCs w:val="32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70731B" w:rsidRDefault="0070731B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</w:p>
    <w:p w:rsidR="00324F91" w:rsidRDefault="0070731B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смт Срібне </w:t>
      </w:r>
      <w:r w:rsidR="007E78F0">
        <w:rPr>
          <w:b/>
          <w:sz w:val="26"/>
          <w:szCs w:val="26"/>
          <w:lang w:val="uk-UA"/>
        </w:rPr>
        <w:t>2020</w:t>
      </w:r>
    </w:p>
    <w:p w:rsidR="00324F91" w:rsidRDefault="00324F91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70731B" w:rsidRDefault="0070731B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</w:p>
    <w:p w:rsidR="00324F91" w:rsidRDefault="007E78F0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ПАСПОРТ ПРОГРАМИ</w:t>
      </w:r>
    </w:p>
    <w:p w:rsidR="00324F91" w:rsidRDefault="00324F91">
      <w:pPr>
        <w:tabs>
          <w:tab w:val="left" w:pos="3165"/>
        </w:tabs>
        <w:jc w:val="center"/>
        <w:rPr>
          <w:b/>
          <w:lang w:val="uk-UA"/>
        </w:rPr>
      </w:pPr>
    </w:p>
    <w:p w:rsidR="00324F91" w:rsidRDefault="00324F91">
      <w:pPr>
        <w:tabs>
          <w:tab w:val="left" w:pos="3165"/>
        </w:tabs>
        <w:jc w:val="center"/>
        <w:rPr>
          <w:b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962"/>
      </w:tblGrid>
      <w:tr w:rsidR="00324F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0731B">
            <w:pPr>
              <w:spacing w:after="200"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0731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КНП»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ЦЛ»</w:t>
            </w:r>
          </w:p>
        </w:tc>
      </w:tr>
      <w:tr w:rsidR="0070731B" w:rsidRPr="0070731B">
        <w:trPr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Default="0070731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Pr="00450FED" w:rsidRDefault="0070731B" w:rsidP="00B253D4">
            <w:pPr>
              <w:snapToGrid w:val="0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Підстава для розроблення</w:t>
            </w:r>
          </w:p>
          <w:p w:rsidR="0070731B" w:rsidRPr="00450FED" w:rsidRDefault="0070731B" w:rsidP="00B253D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1B" w:rsidRPr="00450FED" w:rsidRDefault="0070731B" w:rsidP="00B253D4">
            <w:pPr>
              <w:jc w:val="both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ст.71,91 Бюджетного кодексу України, керуючись п.22 ч.1 ст.26, ч.1 ст.59  Закону України «Про місцеве самоврядування в Україні»</w:t>
            </w:r>
          </w:p>
        </w:tc>
      </w:tr>
      <w:tr w:rsidR="0070731B" w:rsidRPr="0070731B">
        <w:trPr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Default="0070731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Pr="00450FED" w:rsidRDefault="0070731B" w:rsidP="00B253D4">
            <w:pPr>
              <w:snapToGrid w:val="0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1B" w:rsidRPr="0070731B" w:rsidRDefault="0070731B" w:rsidP="00B253D4">
            <w:pPr>
              <w:snapToGrid w:val="0"/>
              <w:rPr>
                <w:sz w:val="28"/>
                <w:szCs w:val="28"/>
                <w:lang w:val="uk-UA"/>
              </w:rPr>
            </w:pPr>
            <w:r w:rsidRPr="0070731B">
              <w:rPr>
                <w:sz w:val="28"/>
                <w:szCs w:val="28"/>
                <w:lang w:val="uk-UA"/>
              </w:rPr>
              <w:t xml:space="preserve">КНП» </w:t>
            </w:r>
            <w:proofErr w:type="spellStart"/>
            <w:r w:rsidRPr="0070731B">
              <w:rPr>
                <w:sz w:val="28"/>
                <w:szCs w:val="28"/>
                <w:lang w:val="uk-UA"/>
              </w:rPr>
              <w:t>Срібнянська</w:t>
            </w:r>
            <w:proofErr w:type="spellEnd"/>
            <w:r w:rsidRPr="0070731B">
              <w:rPr>
                <w:sz w:val="28"/>
                <w:szCs w:val="28"/>
                <w:lang w:val="uk-UA"/>
              </w:rPr>
              <w:t xml:space="preserve">  ЦЛ»</w:t>
            </w:r>
          </w:p>
        </w:tc>
      </w:tr>
      <w:tr w:rsidR="0070731B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Default="0070731B">
            <w:pPr>
              <w:spacing w:after="200"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Pr="00450FED" w:rsidRDefault="0070731B" w:rsidP="00B253D4">
            <w:pPr>
              <w:snapToGrid w:val="0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1B" w:rsidRPr="00450FED" w:rsidRDefault="0070731B" w:rsidP="00B253D4">
            <w:pPr>
              <w:rPr>
                <w:lang w:val="uk-UA"/>
              </w:rPr>
            </w:pPr>
            <w:r w:rsidRPr="0070731B">
              <w:rPr>
                <w:sz w:val="28"/>
                <w:szCs w:val="28"/>
                <w:lang w:val="uk-UA"/>
              </w:rPr>
              <w:t xml:space="preserve">КНП» </w:t>
            </w:r>
            <w:proofErr w:type="spellStart"/>
            <w:r w:rsidRPr="0070731B">
              <w:rPr>
                <w:sz w:val="28"/>
                <w:szCs w:val="28"/>
                <w:lang w:val="uk-UA"/>
              </w:rPr>
              <w:t>Срібнянська</w:t>
            </w:r>
            <w:proofErr w:type="spellEnd"/>
            <w:r w:rsidRPr="0070731B">
              <w:rPr>
                <w:sz w:val="28"/>
                <w:szCs w:val="28"/>
                <w:lang w:val="uk-UA"/>
              </w:rPr>
              <w:t xml:space="preserve">  ЦЛ»</w:t>
            </w:r>
          </w:p>
        </w:tc>
      </w:tr>
      <w:tr w:rsidR="007073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Default="0070731B">
            <w:pPr>
              <w:spacing w:after="200"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1B" w:rsidRPr="00450FED" w:rsidRDefault="0070731B" w:rsidP="00B253D4">
            <w:pPr>
              <w:snapToGrid w:val="0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1B" w:rsidRDefault="0070731B" w:rsidP="00B253D4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Срібнянська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  <w:p w:rsidR="0070731B" w:rsidRPr="00450FED" w:rsidRDefault="0070731B" w:rsidP="00B253D4">
            <w:pPr>
              <w:snapToGrid w:val="0"/>
              <w:rPr>
                <w:lang w:val="uk-UA"/>
              </w:rPr>
            </w:pPr>
            <w:r w:rsidRPr="0070731B">
              <w:rPr>
                <w:sz w:val="28"/>
                <w:szCs w:val="28"/>
                <w:lang w:val="uk-UA"/>
              </w:rPr>
              <w:t xml:space="preserve">КНП» </w:t>
            </w:r>
            <w:proofErr w:type="spellStart"/>
            <w:r w:rsidRPr="0070731B">
              <w:rPr>
                <w:sz w:val="28"/>
                <w:szCs w:val="28"/>
                <w:lang w:val="uk-UA"/>
              </w:rPr>
              <w:t>Срібнянська</w:t>
            </w:r>
            <w:proofErr w:type="spellEnd"/>
            <w:r w:rsidRPr="0070731B">
              <w:rPr>
                <w:sz w:val="28"/>
                <w:szCs w:val="28"/>
                <w:lang w:val="uk-UA"/>
              </w:rPr>
              <w:t xml:space="preserve">  ЦЛ»</w:t>
            </w:r>
          </w:p>
        </w:tc>
      </w:tr>
      <w:tr w:rsidR="00324F91">
        <w:trPr>
          <w:trHeight w:val="1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0731B">
            <w:pPr>
              <w:spacing w:after="200"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6</w:t>
            </w:r>
            <w:r w:rsidR="007E78F0">
              <w:rPr>
                <w:sz w:val="28"/>
                <w:szCs w:val="26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з урахуванням потреби до кінця 2020 року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0731B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11911,0  тис. грн</w:t>
            </w:r>
            <w:r w:rsidR="007E78F0">
              <w:rPr>
                <w:sz w:val="28"/>
                <w:szCs w:val="28"/>
                <w:lang w:val="uk-UA"/>
              </w:rPr>
              <w:t xml:space="preserve"> </w:t>
            </w:r>
          </w:p>
          <w:p w:rsidR="00324F91" w:rsidRPr="0070731B" w:rsidRDefault="007E78F0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lang w:val="uk-UA"/>
              </w:rPr>
            </w:pPr>
            <w:r w:rsidRPr="0070731B">
              <w:rPr>
                <w:lang w:val="uk-UA"/>
              </w:rPr>
              <w:t>Загальний обсяг фінансових ресурсів фінансової підтримки до кінця року може змінюватися в сторону збільшення за рахунок змін в штатному розписі</w:t>
            </w:r>
          </w:p>
        </w:tc>
      </w:tr>
    </w:tbl>
    <w:p w:rsidR="00324F91" w:rsidRDefault="00324F91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p w:rsidR="00324F91" w:rsidRDefault="007E78F0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. </w:t>
      </w:r>
    </w:p>
    <w:p w:rsidR="00324F91" w:rsidRDefault="007E78F0" w:rsidP="0070731B">
      <w:pPr>
        <w:pStyle w:val="Style3"/>
        <w:widowControl/>
        <w:numPr>
          <w:ilvl w:val="0"/>
          <w:numId w:val="2"/>
        </w:numPr>
        <w:tabs>
          <w:tab w:val="left" w:pos="795"/>
          <w:tab w:val="left" w:pos="998"/>
        </w:tabs>
        <w:jc w:val="center"/>
        <w:rPr>
          <w:rStyle w:val="FontStyle12"/>
          <w:b/>
          <w:bCs/>
          <w:sz w:val="28"/>
          <w:szCs w:val="28"/>
          <w:lang w:val="uk-UA"/>
        </w:rPr>
      </w:pPr>
      <w:r>
        <w:rPr>
          <w:rStyle w:val="FontStyle12"/>
          <w:b/>
          <w:bCs/>
          <w:sz w:val="28"/>
          <w:szCs w:val="28"/>
          <w:lang w:val="uk-UA"/>
        </w:rPr>
        <w:t>Загальні положення</w:t>
      </w:r>
    </w:p>
    <w:p w:rsidR="00324F91" w:rsidRDefault="004506E7">
      <w:pPr>
        <w:tabs>
          <w:tab w:val="left" w:pos="-900"/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рішенням тридцять шостої сесії сьомого скликання </w:t>
      </w:r>
      <w:proofErr w:type="spellStart"/>
      <w:r>
        <w:rPr>
          <w:rStyle w:val="FontStyle12"/>
          <w:sz w:val="28"/>
          <w:szCs w:val="28"/>
          <w:lang w:val="uk-UA"/>
        </w:rPr>
        <w:t>Срібнянської</w:t>
      </w:r>
      <w:proofErr w:type="spellEnd"/>
      <w:r w:rsidR="000C6A44">
        <w:rPr>
          <w:sz w:val="28"/>
          <w:szCs w:val="28"/>
          <w:lang w:val="uk-UA"/>
        </w:rPr>
        <w:t xml:space="preserve"> сели</w:t>
      </w:r>
      <w:r>
        <w:rPr>
          <w:sz w:val="28"/>
          <w:szCs w:val="28"/>
          <w:lang w:val="uk-UA"/>
        </w:rPr>
        <w:t>щної ради «</w:t>
      </w:r>
      <w:r w:rsidRPr="005854B9">
        <w:rPr>
          <w:sz w:val="28"/>
          <w:szCs w:val="28"/>
          <w:lang w:val="uk-UA"/>
        </w:rPr>
        <w:t xml:space="preserve">Про прийняття у комунальну власність Срібнянської селищної ради об’єкта спільної власності територіальних громад сіл та селищ </w:t>
      </w:r>
      <w:proofErr w:type="spellStart"/>
      <w:r w:rsidRPr="005854B9">
        <w:rPr>
          <w:sz w:val="28"/>
          <w:szCs w:val="28"/>
          <w:lang w:val="uk-UA"/>
        </w:rPr>
        <w:t>Срібнянського</w:t>
      </w:r>
      <w:proofErr w:type="spellEnd"/>
      <w:r w:rsidRPr="005854B9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» від 13.10.2020 року, враховуючи зміну засновника </w:t>
      </w:r>
      <w:r w:rsidRPr="004506E7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4506E7">
        <w:rPr>
          <w:sz w:val="28"/>
          <w:szCs w:val="28"/>
          <w:lang w:val="uk-UA"/>
        </w:rPr>
        <w:t>Срібнянська</w:t>
      </w:r>
      <w:proofErr w:type="spellEnd"/>
      <w:r w:rsidRPr="004506E7">
        <w:rPr>
          <w:sz w:val="28"/>
          <w:szCs w:val="28"/>
          <w:lang w:val="uk-UA"/>
        </w:rPr>
        <w:t xml:space="preserve"> центральна районна лікарня» Срібнянської районної ради Чернігівської області</w:t>
      </w:r>
      <w:r>
        <w:rPr>
          <w:sz w:val="28"/>
          <w:szCs w:val="28"/>
          <w:lang w:val="uk-UA"/>
        </w:rPr>
        <w:t>, створено шляхом перетворення к</w:t>
      </w:r>
      <w:r w:rsidR="007E78F0">
        <w:rPr>
          <w:sz w:val="28"/>
          <w:szCs w:val="28"/>
          <w:lang w:val="uk-UA"/>
        </w:rPr>
        <w:t>омунальне некомерційне підприємство «</w:t>
      </w:r>
      <w:proofErr w:type="spellStart"/>
      <w:r w:rsidR="007E78F0">
        <w:rPr>
          <w:sz w:val="28"/>
          <w:szCs w:val="28"/>
          <w:lang w:val="uk-UA"/>
        </w:rPr>
        <w:t>Срібнянська</w:t>
      </w:r>
      <w:proofErr w:type="spellEnd"/>
      <w:r w:rsidR="007E78F0">
        <w:rPr>
          <w:sz w:val="28"/>
          <w:szCs w:val="28"/>
          <w:lang w:val="uk-UA"/>
        </w:rPr>
        <w:t xml:space="preserve"> центральна  лі</w:t>
      </w:r>
      <w:r w:rsidR="000C6A44">
        <w:rPr>
          <w:sz w:val="28"/>
          <w:szCs w:val="28"/>
          <w:lang w:val="uk-UA"/>
        </w:rPr>
        <w:t xml:space="preserve">карня» </w:t>
      </w:r>
      <w:proofErr w:type="spellStart"/>
      <w:r w:rsidR="000C6A44">
        <w:rPr>
          <w:sz w:val="28"/>
          <w:szCs w:val="28"/>
          <w:lang w:val="uk-UA"/>
        </w:rPr>
        <w:t>Срібнянської</w:t>
      </w:r>
      <w:proofErr w:type="spellEnd"/>
      <w:r w:rsidR="000C6A44">
        <w:rPr>
          <w:sz w:val="28"/>
          <w:szCs w:val="28"/>
          <w:lang w:val="uk-UA"/>
        </w:rPr>
        <w:t xml:space="preserve">  сели</w:t>
      </w:r>
      <w:r w:rsidR="007E78F0">
        <w:rPr>
          <w:sz w:val="28"/>
          <w:szCs w:val="28"/>
          <w:lang w:val="uk-UA"/>
        </w:rPr>
        <w:t>щної ради Чернігівської області (</w:t>
      </w:r>
      <w:r>
        <w:rPr>
          <w:sz w:val="28"/>
          <w:szCs w:val="28"/>
          <w:lang w:val="uk-UA"/>
        </w:rPr>
        <w:t>на</w:t>
      </w:r>
      <w:r w:rsidR="007E78F0">
        <w:rPr>
          <w:sz w:val="28"/>
          <w:szCs w:val="28"/>
          <w:lang w:val="uk-UA"/>
        </w:rPr>
        <w:t xml:space="preserve">далі — </w:t>
      </w:r>
      <w:r>
        <w:rPr>
          <w:sz w:val="28"/>
          <w:szCs w:val="28"/>
          <w:lang w:val="uk-UA"/>
        </w:rPr>
        <w:t>Підприємство),</w:t>
      </w:r>
      <w:r w:rsidR="007E7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яке </w:t>
      </w:r>
      <w:r w:rsidR="007E78F0">
        <w:rPr>
          <w:sz w:val="28"/>
          <w:szCs w:val="28"/>
          <w:lang w:val="uk-UA"/>
        </w:rPr>
        <w:t>є правонаступником зазначеного комунального закладу.</w:t>
      </w:r>
    </w:p>
    <w:p w:rsidR="00324F91" w:rsidRDefault="007E78F0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</w:t>
      </w:r>
      <w:r w:rsidR="0070731B">
        <w:rPr>
          <w:rFonts w:ascii="Times New Roman" w:hAnsi="Times New Roman"/>
          <w:sz w:val="28"/>
          <w:szCs w:val="28"/>
          <w:lang w:val="uk-UA"/>
        </w:rPr>
        <w:t xml:space="preserve">ядування в Україні», Цивільного </w:t>
      </w:r>
      <w:r>
        <w:rPr>
          <w:rFonts w:ascii="Times New Roman" w:hAnsi="Times New Roman"/>
          <w:sz w:val="28"/>
          <w:szCs w:val="28"/>
          <w:lang w:val="uk-UA"/>
        </w:rPr>
        <w:t>кодексу України, Господарського кодексу України, Бюджетного кодексу України та інших нормативно-правових актів.</w:t>
      </w:r>
    </w:p>
    <w:p w:rsidR="00324F91" w:rsidRDefault="007E78F0">
      <w:pPr>
        <w:pStyle w:val="a4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Програмі визначено цілі розвитку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>
        <w:rPr>
          <w:rStyle w:val="FontStyle12"/>
          <w:sz w:val="28"/>
          <w:szCs w:val="28"/>
          <w:lang w:val="uk-UA"/>
        </w:rPr>
        <w:t>Срібнянської</w:t>
      </w:r>
      <w:proofErr w:type="spellEnd"/>
      <w:r>
        <w:rPr>
          <w:rStyle w:val="FontStyle12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Чернігівської області,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Срібнянської </w:t>
      </w:r>
      <w:r w:rsidR="004506E7">
        <w:rPr>
          <w:rFonts w:ascii="Times New Roman" w:hAnsi="Times New Roman"/>
          <w:sz w:val="28"/>
          <w:szCs w:val="28"/>
          <w:lang w:val="uk-UA"/>
        </w:rPr>
        <w:t>селищної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іншим громадянам. 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наділене усіма правами юридичної особи.  </w:t>
      </w:r>
    </w:p>
    <w:p w:rsidR="00324F91" w:rsidRDefault="007E78F0">
      <w:pPr>
        <w:tabs>
          <w:tab w:val="left" w:pos="-900"/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Комунальне некомерційне підприємство обслуговує 11113 осіб населення, в т</w:t>
      </w:r>
      <w:r w:rsidR="004506E7">
        <w:rPr>
          <w:color w:val="000000"/>
          <w:sz w:val="28"/>
          <w:szCs w:val="28"/>
          <w:lang w:val="uk-UA"/>
        </w:rPr>
        <w:t xml:space="preserve">ому </w:t>
      </w:r>
      <w:r>
        <w:rPr>
          <w:color w:val="000000"/>
          <w:sz w:val="28"/>
          <w:szCs w:val="28"/>
          <w:lang w:val="uk-UA"/>
        </w:rPr>
        <w:t>ч</w:t>
      </w:r>
      <w:r w:rsidR="004506E7">
        <w:rPr>
          <w:color w:val="000000"/>
          <w:sz w:val="28"/>
          <w:szCs w:val="28"/>
          <w:lang w:val="uk-UA"/>
        </w:rPr>
        <w:t xml:space="preserve">ислі: сільського – 6 748 осіб та </w:t>
      </w:r>
      <w:r>
        <w:rPr>
          <w:color w:val="000000"/>
          <w:sz w:val="28"/>
          <w:szCs w:val="28"/>
          <w:lang w:val="uk-UA"/>
        </w:rPr>
        <w:t>міського –4</w:t>
      </w:r>
      <w:r w:rsidR="004506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365</w:t>
      </w:r>
      <w:r w:rsidR="004506E7">
        <w:rPr>
          <w:color w:val="000000"/>
          <w:sz w:val="28"/>
          <w:szCs w:val="28"/>
          <w:lang w:val="uk-UA"/>
        </w:rPr>
        <w:t>.</w:t>
      </w:r>
    </w:p>
    <w:p w:rsidR="005E71B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зайнятих посад по КНП «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центральна лікарня»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Чернігівської області становить  151,5одиниць</w:t>
      </w:r>
      <w:r w:rsidR="004506E7">
        <w:rPr>
          <w:sz w:val="28"/>
          <w:szCs w:val="28"/>
          <w:lang w:val="uk-UA"/>
        </w:rPr>
        <w:t xml:space="preserve">: 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— 16,5 од.;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спеціалісти з вищою немедичною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— 2,5 од;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середній медичний персонал                   </w:t>
      </w:r>
      <w:r w:rsidR="000C6A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— 65,0 од.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молодший медичний персонал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—29,5 од.;</w:t>
      </w:r>
    </w:p>
    <w:p w:rsidR="00324F91" w:rsidRDefault="007E78F0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—38,0 од.;</w:t>
      </w:r>
    </w:p>
    <w:p w:rsidR="00324F91" w:rsidRDefault="00324F91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</w:p>
    <w:p w:rsidR="00324F91" w:rsidRDefault="007E78F0" w:rsidP="005E71B1">
      <w:pPr>
        <w:tabs>
          <w:tab w:val="left" w:pos="0"/>
          <w:tab w:val="left" w:pos="1830"/>
          <w:tab w:val="left" w:pos="3165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Опис проблеми, на розв’язання якої спрямована програма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Одним із пріоритетних напрямків діяльності комунального некомерційного підприємства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центральна лікарня»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 є здійснення медичної практики, надання медичної допомоги, провадження господарської та іншої діяльності відповідно законодавчих актів України.</w:t>
      </w:r>
    </w:p>
    <w:p w:rsidR="00324F91" w:rsidRDefault="007E78F0">
      <w:pPr>
        <w:tabs>
          <w:tab w:val="left" w:pos="0"/>
          <w:tab w:val="left" w:pos="1830"/>
          <w:tab w:val="left" w:pos="3165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Основним медичним закладом для надання вторинної (спеціалізованої) медичної допомоги</w:t>
      </w:r>
      <w:r>
        <w:rPr>
          <w:sz w:val="28"/>
          <w:szCs w:val="28"/>
          <w:lang w:val="uk-UA"/>
        </w:rPr>
        <w:t xml:space="preserve"> мешканцям Срібнянської </w:t>
      </w:r>
      <w:r w:rsidR="005E71B1">
        <w:rPr>
          <w:sz w:val="28"/>
          <w:szCs w:val="28"/>
          <w:lang w:val="uk-UA"/>
        </w:rPr>
        <w:t>селищної об’єднаної територіальної громади</w:t>
      </w:r>
      <w:r>
        <w:rPr>
          <w:sz w:val="28"/>
          <w:szCs w:val="28"/>
          <w:lang w:val="uk-UA"/>
        </w:rPr>
        <w:t xml:space="preserve"> визначено комунальне некомерційне підприємство  «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центральна лікарня»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Чернігівської області. На даний час підприємство є багатопрофільним медичним закладом, забезпечене необхідним кадровим потенціалом та необхідні структурні підрозділи для надання медичної допомоги.</w:t>
      </w:r>
    </w:p>
    <w:p w:rsidR="00324F91" w:rsidRDefault="007E78F0">
      <w:pPr>
        <w:pStyle w:val="a4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даними статистичної звітності поточного року за 10 місяців було проліковано 2266  пацієнтів у стаціонарі, проведено 420 оперативних втручань, зареєстровано 42,4 тис. амбулаторних звернень до лікарів, із них    25,2  тис. сільських жителів. Виконання плану ліжко-днів склало 103,7%. Зазначені показники свідчать про високий потенціал структурних підрозділів лікарні та наявний резерв для надання   медичної </w:t>
      </w:r>
      <w:r w:rsidR="005E71B1">
        <w:rPr>
          <w:rFonts w:ascii="Times New Roman" w:hAnsi="Times New Roman"/>
          <w:color w:val="000000"/>
          <w:sz w:val="28"/>
          <w:szCs w:val="28"/>
          <w:lang w:val="uk-UA"/>
        </w:rPr>
        <w:t>допомоги мешканцям Срібнянської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E71B1"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інших громадян.  </w:t>
      </w:r>
    </w:p>
    <w:p w:rsidR="00324F91" w:rsidRDefault="007E78F0" w:rsidP="005E71B1">
      <w:pPr>
        <w:pStyle w:val="Style3"/>
        <w:widowControl/>
        <w:tabs>
          <w:tab w:val="left" w:pos="795"/>
          <w:tab w:val="left" w:pos="998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Мета програми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метою діяльності комунальног</w:t>
      </w:r>
      <w:r w:rsidR="005E71B1">
        <w:rPr>
          <w:rFonts w:ascii="Times New Roman" w:hAnsi="Times New Roman"/>
          <w:sz w:val="28"/>
          <w:szCs w:val="28"/>
          <w:lang w:val="uk-UA"/>
        </w:rPr>
        <w:t>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 є медична практика, для реалізації державної політики в сфері охорони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здоров’я, забезпечення медичного обслуговування населення шляхом надання йому медичних послуг в порядку та обсязі, встановлених законодавством.</w:t>
      </w:r>
    </w:p>
    <w:p w:rsidR="00324F91" w:rsidRDefault="007E78F0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>
        <w:rPr>
          <w:rFonts w:ascii="Times New Roman" w:hAnsi="Times New Roman"/>
          <w:sz w:val="28"/>
          <w:szCs w:val="28"/>
          <w:lang w:val="uk-UA"/>
        </w:rPr>
        <w:t>комунальним неко</w:t>
      </w:r>
      <w:r w:rsidR="005E71B1">
        <w:rPr>
          <w:rFonts w:ascii="Times New Roman" w:hAnsi="Times New Roman"/>
          <w:sz w:val="28"/>
          <w:szCs w:val="28"/>
          <w:lang w:val="uk-UA"/>
        </w:rPr>
        <w:t>мерційним підприємством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центральна лікарня»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324F91" w:rsidRDefault="007E78F0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Одним з основних заходів впровадження реформи фінансування системи охорони здоров’я є забезпечення реорганізації державних та комунальних медичних закладів у повноцінні суб’єкти господарської діяльності </w:t>
      </w:r>
      <w:r>
        <w:rPr>
          <w:rFonts w:ascii="Times New Roman" w:hAnsi="Times New Roman"/>
          <w:sz w:val="28"/>
          <w:szCs w:val="28"/>
          <w:lang w:val="uk-UA"/>
        </w:rPr>
        <w:t>—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державні та комунальні некомерційні підприємства</w:t>
      </w:r>
    </w:p>
    <w:p w:rsidR="00324F91" w:rsidRDefault="00324F9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4F91" w:rsidRDefault="007E78F0" w:rsidP="005E71B1">
      <w:pPr>
        <w:pStyle w:val="Style3"/>
        <w:widowControl/>
        <w:tabs>
          <w:tab w:val="left" w:pos="795"/>
          <w:tab w:val="left" w:pos="998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</w:t>
      </w:r>
      <w:r w:rsidR="005E71B1"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 xml:space="preserve"> Програми</w:t>
      </w:r>
    </w:p>
    <w:p w:rsidR="00324F91" w:rsidRDefault="007E78F0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Програмою визначено такі основні завдання: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створення необхідних для забезпечення доступної та якісної медичної допомоги населенню, організації належного управління внутрішнім лікувально-діагностичним процесом та ефективного використання майна та інших ресурсів Підприємства;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надання пацієнтам відповідно до законодавства на безвідплатній та відплатній основі послуг вторинної/спеціалізованої  стаціонарної медичної допомоги, у тому числі екстреної (невідкладної), необхідної для забезпечення належних профілактики, діагностики і лікування хвороб, травм, отруєнь чи інших розладів здоров’я, медичного контролю за перебігом вагітності;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пацієнтам відповідно до законодавства на безвідплатній та відплатній основі спеціалізованої амбулаторної медичної допомоги ;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всіх інших видів медичної діяльності, передбачених законодавством;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організація, у разі потреби, надання пацієнтам медичної допомоги більш високого рівня спеціалізації на базі інших закладів охорони здоров’я шляхом направлення пацієнтів до цих закладів у порядку, встановленому законодавством;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проведення експертизи тимчасової непрацездатності та контролю за видачею листків непрацездатності;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направлення на медико-соціальну експертизу осіб зі стійкою втратою працездатності;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проведення профілактичних оглядів; 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придбання, зберігання,  реалізація (відпуск), використання, знищення, наркотичних засобів (списку 1 таблиці II та списку 1 таблиці III), психотропних речовин (списку 2 таблиці II та списку 2 таблиці III), прекурсорів (списку 1 табл</w:t>
      </w:r>
      <w:r w:rsidR="005E71B1">
        <w:rPr>
          <w:sz w:val="28"/>
          <w:szCs w:val="28"/>
          <w:lang w:val="uk-UA"/>
        </w:rPr>
        <w:t>иці IV та списку 2 таблиці IV) «</w:t>
      </w:r>
      <w:r>
        <w:rPr>
          <w:sz w:val="28"/>
          <w:szCs w:val="28"/>
          <w:lang w:val="uk-UA"/>
        </w:rPr>
        <w:t>Переліку наркотичних засобів, псих</w:t>
      </w:r>
      <w:r w:rsidR="005E71B1">
        <w:rPr>
          <w:sz w:val="28"/>
          <w:szCs w:val="28"/>
          <w:lang w:val="uk-UA"/>
        </w:rPr>
        <w:t>отропних речовин і прекурсорів»</w:t>
      </w:r>
      <w:r>
        <w:rPr>
          <w:sz w:val="28"/>
          <w:szCs w:val="28"/>
          <w:lang w:val="uk-UA"/>
        </w:rPr>
        <w:t>, затвердженого постановою КМУ;</w:t>
      </w:r>
    </w:p>
    <w:p w:rsidR="00324F91" w:rsidRDefault="007E7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платних медичних послуг населенню з</w:t>
      </w:r>
      <w:r w:rsidR="005E71B1">
        <w:rPr>
          <w:sz w:val="28"/>
          <w:szCs w:val="28"/>
          <w:lang w:val="uk-UA"/>
        </w:rPr>
        <w:t>гідно із законодавством України.</w:t>
      </w:r>
    </w:p>
    <w:p w:rsidR="005E71B1" w:rsidRDefault="005E71B1" w:rsidP="005E71B1">
      <w:pPr>
        <w:pStyle w:val="Style3"/>
        <w:widowControl/>
        <w:tabs>
          <w:tab w:val="left" w:pos="795"/>
          <w:tab w:val="left" w:pos="998"/>
        </w:tabs>
        <w:ind w:firstLine="709"/>
        <w:jc w:val="center"/>
        <w:rPr>
          <w:b/>
          <w:sz w:val="28"/>
          <w:szCs w:val="28"/>
          <w:lang w:val="uk-UA"/>
        </w:rPr>
      </w:pPr>
    </w:p>
    <w:p w:rsidR="005E71B1" w:rsidRDefault="005E71B1" w:rsidP="005E71B1">
      <w:pPr>
        <w:pStyle w:val="Style3"/>
        <w:widowControl/>
        <w:tabs>
          <w:tab w:val="left" w:pos="795"/>
          <w:tab w:val="left" w:pos="998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5.Обґрунтування шляхів розв’язання проблеми, </w:t>
      </w:r>
    </w:p>
    <w:p w:rsidR="005E71B1" w:rsidRDefault="005E71B1" w:rsidP="005E71B1">
      <w:pPr>
        <w:pStyle w:val="Style3"/>
        <w:widowControl/>
        <w:tabs>
          <w:tab w:val="left" w:pos="795"/>
          <w:tab w:val="left" w:pos="998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строки виконання програми</w:t>
      </w:r>
    </w:p>
    <w:p w:rsidR="005E71B1" w:rsidRDefault="005E71B1" w:rsidP="005E71B1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 Срібнянської громади.</w:t>
      </w:r>
    </w:p>
    <w:p w:rsidR="005E71B1" w:rsidRDefault="005E71B1" w:rsidP="005E71B1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324F91" w:rsidRDefault="00324F91">
      <w:pPr>
        <w:ind w:firstLine="708"/>
        <w:jc w:val="both"/>
        <w:rPr>
          <w:sz w:val="28"/>
          <w:szCs w:val="28"/>
          <w:lang w:val="uk-UA"/>
        </w:rPr>
      </w:pPr>
    </w:p>
    <w:p w:rsidR="00324F91" w:rsidRDefault="007E78F0" w:rsidP="005E71B1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Фінанс</w:t>
      </w:r>
      <w:r w:rsidR="005E71B1">
        <w:rPr>
          <w:b/>
          <w:sz w:val="28"/>
          <w:szCs w:val="28"/>
          <w:lang w:val="uk-UA"/>
        </w:rPr>
        <w:t xml:space="preserve">ування </w:t>
      </w:r>
      <w:r>
        <w:rPr>
          <w:b/>
          <w:sz w:val="28"/>
          <w:szCs w:val="28"/>
          <w:lang w:val="uk-UA"/>
        </w:rPr>
        <w:t>програми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— коштів місцевого бюджету ; 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 коштів державного бюджету;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— надання підприємством платних послуг;  </w:t>
      </w:r>
    </w:p>
    <w:p w:rsidR="00324F91" w:rsidRDefault="007E78F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інших джерел фінансування не заборонених законодавством України.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Підприємством на виконання запланованих заходів Програми. 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фінансування Програми шляхом надання ф</w:t>
      </w:r>
      <w:r w:rsidR="003E4DDB">
        <w:rPr>
          <w:rFonts w:ascii="Times New Roman" w:hAnsi="Times New Roman"/>
          <w:sz w:val="28"/>
          <w:szCs w:val="28"/>
          <w:lang w:val="uk-UA"/>
        </w:rPr>
        <w:t>інансової підтримки на 2020 рік, виключно в межах фінансови</w:t>
      </w:r>
      <w:r w:rsidR="005D2C1E">
        <w:rPr>
          <w:rFonts w:ascii="Times New Roman" w:hAnsi="Times New Roman"/>
          <w:sz w:val="28"/>
          <w:szCs w:val="28"/>
          <w:lang w:val="uk-UA"/>
        </w:rPr>
        <w:t xml:space="preserve">х можливостей селищного бюджету </w:t>
      </w:r>
      <w:r>
        <w:rPr>
          <w:rFonts w:ascii="Times New Roman" w:hAnsi="Times New Roman"/>
          <w:sz w:val="28"/>
          <w:szCs w:val="28"/>
          <w:lang w:val="uk-UA"/>
        </w:rPr>
        <w:t>(додаток 1).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  включено до мережі  одержувача бюджетних коштів та використовувати виділені кошти згідно з планом використання.</w:t>
      </w:r>
    </w:p>
    <w:p w:rsidR="00324F91" w:rsidRDefault="007E78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324F91" w:rsidRDefault="00324F9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71B1" w:rsidRDefault="005E71B1" w:rsidP="005E71B1">
      <w:pPr>
        <w:rPr>
          <w:b/>
          <w:sz w:val="22"/>
          <w:szCs w:val="22"/>
          <w:lang w:val="uk-UA"/>
        </w:rPr>
      </w:pPr>
    </w:p>
    <w:p w:rsidR="005E71B1" w:rsidRPr="000C6A44" w:rsidRDefault="005E71B1" w:rsidP="005E71B1">
      <w:pPr>
        <w:rPr>
          <w:b/>
          <w:sz w:val="28"/>
          <w:szCs w:val="28"/>
          <w:lang w:val="uk-UA"/>
        </w:rPr>
      </w:pPr>
      <w:r w:rsidRPr="000C6A44">
        <w:rPr>
          <w:b/>
          <w:sz w:val="28"/>
          <w:szCs w:val="28"/>
          <w:lang w:val="uk-UA"/>
        </w:rPr>
        <w:t xml:space="preserve">Головний лікар </w:t>
      </w:r>
    </w:p>
    <w:p w:rsidR="005E71B1" w:rsidRPr="000C6A44" w:rsidRDefault="005E71B1" w:rsidP="005E71B1">
      <w:pPr>
        <w:rPr>
          <w:b/>
          <w:sz w:val="28"/>
          <w:szCs w:val="28"/>
          <w:lang w:val="uk-UA"/>
        </w:rPr>
        <w:sectPr w:rsidR="005E71B1" w:rsidRPr="000C6A44">
          <w:footerReference w:type="default" r:id="rId9"/>
          <w:pgSz w:w="11906" w:h="16838"/>
          <w:pgMar w:top="1134" w:right="567" w:bottom="1134" w:left="1701" w:header="709" w:footer="0" w:gutter="0"/>
          <w:cols w:space="708"/>
          <w:docGrid w:linePitch="360"/>
        </w:sectPr>
      </w:pPr>
      <w:r w:rsidRPr="000C6A44">
        <w:rPr>
          <w:b/>
          <w:sz w:val="28"/>
          <w:szCs w:val="28"/>
          <w:lang w:val="uk-UA"/>
        </w:rPr>
        <w:t>КНП «</w:t>
      </w:r>
      <w:proofErr w:type="spellStart"/>
      <w:r w:rsidRPr="000C6A44">
        <w:rPr>
          <w:b/>
          <w:sz w:val="28"/>
          <w:szCs w:val="28"/>
          <w:lang w:val="uk-UA"/>
        </w:rPr>
        <w:t>Срібнянська</w:t>
      </w:r>
      <w:proofErr w:type="spellEnd"/>
      <w:r w:rsidRPr="000C6A44">
        <w:rPr>
          <w:b/>
          <w:sz w:val="28"/>
          <w:szCs w:val="28"/>
          <w:lang w:val="uk-UA"/>
        </w:rPr>
        <w:t xml:space="preserve"> ЦЛ» </w:t>
      </w:r>
      <w:r w:rsidRPr="000C6A44">
        <w:rPr>
          <w:b/>
          <w:sz w:val="28"/>
          <w:szCs w:val="28"/>
          <w:lang w:val="uk-UA"/>
        </w:rPr>
        <w:tab/>
      </w:r>
      <w:r w:rsidRPr="000C6A44">
        <w:rPr>
          <w:b/>
          <w:sz w:val="28"/>
          <w:szCs w:val="28"/>
          <w:lang w:val="uk-UA"/>
        </w:rPr>
        <w:tab/>
      </w:r>
      <w:r w:rsidRPr="000C6A44">
        <w:rPr>
          <w:b/>
          <w:sz w:val="28"/>
          <w:szCs w:val="28"/>
          <w:lang w:val="uk-UA"/>
        </w:rPr>
        <w:tab/>
      </w:r>
      <w:r w:rsidRPr="000C6A44">
        <w:rPr>
          <w:b/>
          <w:sz w:val="28"/>
          <w:szCs w:val="28"/>
          <w:lang w:val="uk-UA"/>
        </w:rPr>
        <w:tab/>
      </w:r>
      <w:r w:rsidRPr="000C6A44">
        <w:rPr>
          <w:b/>
          <w:sz w:val="28"/>
          <w:szCs w:val="28"/>
          <w:lang w:val="uk-UA"/>
        </w:rPr>
        <w:tab/>
      </w:r>
      <w:r w:rsidRPr="000C6A44">
        <w:rPr>
          <w:b/>
          <w:sz w:val="28"/>
          <w:szCs w:val="28"/>
          <w:lang w:val="uk-UA"/>
        </w:rPr>
        <w:tab/>
      </w:r>
      <w:r w:rsidRPr="000C6A44">
        <w:rPr>
          <w:b/>
          <w:sz w:val="28"/>
          <w:szCs w:val="28"/>
          <w:lang w:val="uk-UA"/>
        </w:rPr>
        <w:tab/>
        <w:t>М. ДІДЕНКО</w:t>
      </w:r>
    </w:p>
    <w:p w:rsidR="00324F91" w:rsidRDefault="007E78F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План заходів</w:t>
      </w:r>
    </w:p>
    <w:p w:rsidR="00324F91" w:rsidRDefault="007E78F0">
      <w:pPr>
        <w:tabs>
          <w:tab w:val="left" w:pos="600"/>
          <w:tab w:val="left" w:pos="1830"/>
          <w:tab w:val="left" w:pos="3165"/>
        </w:tabs>
        <w:ind w:right="595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програми фінансової підтримки комунального некомерційного підприємства</w:t>
      </w:r>
    </w:p>
    <w:p w:rsidR="00324F91" w:rsidRDefault="007E78F0">
      <w:pPr>
        <w:tabs>
          <w:tab w:val="left" w:pos="600"/>
          <w:tab w:val="left" w:pos="1830"/>
          <w:tab w:val="left" w:pos="3165"/>
        </w:tabs>
        <w:ind w:right="595"/>
        <w:jc w:val="center"/>
        <w:rPr>
          <w:b/>
          <w:lang w:val="uk-UA"/>
        </w:rPr>
      </w:pPr>
      <w:r>
        <w:rPr>
          <w:b/>
          <w:sz w:val="22"/>
          <w:szCs w:val="22"/>
          <w:lang w:val="uk-UA"/>
        </w:rPr>
        <w:t>«</w:t>
      </w:r>
      <w:proofErr w:type="spellStart"/>
      <w:r>
        <w:rPr>
          <w:b/>
          <w:sz w:val="22"/>
          <w:szCs w:val="22"/>
          <w:lang w:val="uk-UA"/>
        </w:rPr>
        <w:t>Срібнянська</w:t>
      </w:r>
      <w:proofErr w:type="spellEnd"/>
      <w:r>
        <w:rPr>
          <w:b/>
          <w:sz w:val="22"/>
          <w:szCs w:val="22"/>
          <w:lang w:val="uk-UA"/>
        </w:rPr>
        <w:t xml:space="preserve"> центральна лікарня» </w:t>
      </w:r>
      <w:proofErr w:type="spellStart"/>
      <w:r>
        <w:rPr>
          <w:b/>
          <w:sz w:val="22"/>
          <w:szCs w:val="22"/>
          <w:lang w:val="uk-UA"/>
        </w:rPr>
        <w:t>Срібнянської</w:t>
      </w:r>
      <w:proofErr w:type="spellEnd"/>
      <w:r>
        <w:rPr>
          <w:b/>
          <w:sz w:val="22"/>
          <w:szCs w:val="22"/>
          <w:lang w:val="uk-UA"/>
        </w:rPr>
        <w:t xml:space="preserve">  селищної ради Чернігівської області на 2020рік</w:t>
      </w:r>
    </w:p>
    <w:p w:rsidR="00324F91" w:rsidRDefault="00324F91">
      <w:pPr>
        <w:jc w:val="center"/>
        <w:rPr>
          <w:bCs/>
          <w:lang w:val="uk-UA"/>
        </w:rPr>
      </w:pP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548"/>
        <w:gridCol w:w="2192"/>
        <w:gridCol w:w="5343"/>
        <w:gridCol w:w="1131"/>
        <w:gridCol w:w="3402"/>
        <w:gridCol w:w="2723"/>
      </w:tblGrid>
      <w:tr w:rsidR="00324F91" w:rsidRPr="000C6A44">
        <w:trPr>
          <w:trHeight w:val="829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з/п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Перелік заходів програми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Строк виконання заходу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Джерела фінансування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Орієнтовні обсяги фінансування(вартість),</w:t>
            </w:r>
          </w:p>
          <w:p w:rsidR="00324F91" w:rsidRDefault="007E78F0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тис.гривень</w:t>
            </w:r>
            <w:proofErr w:type="spellEnd"/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Всього</w:t>
            </w:r>
          </w:p>
        </w:tc>
      </w:tr>
      <w:tr w:rsidR="00324F91">
        <w:trPr>
          <w:trHeight w:val="3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Медичні послуги за договорами з юридичними особами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надання послуг відповідно діючих договорів;   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заключення договорів з іншими юридичними особами;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розширення видів надання послуг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256.0</w:t>
            </w:r>
          </w:p>
        </w:tc>
      </w:tr>
      <w:tr w:rsidR="00324F91">
        <w:trPr>
          <w:trHeight w:val="47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Медичні послуги фізичним особам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bCs/>
                <w:lang w:val="uk-UA"/>
              </w:rPr>
              <w:t>- проведення попередніх та періодичних медичних оглядів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</w:t>
            </w: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Надання орендних послуг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bCs/>
                <w:lang w:val="uk-UA"/>
              </w:rPr>
              <w:t>- здача приміщень та обладнання в оренду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24F91">
        <w:trPr>
          <w:trHeight w:val="18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господарчих, будівельних, електротоварів, меблів та інших малоцінних предметів;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паливно-мастильних матеріалів, запчастин до транспортних засобів;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білизни;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придбання комплектувальних виробів і деталей для ремонту всіх видів виробничого та невиробничого обладнання;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канцелярського та письмового приладдя; бланків, паперу та </w:t>
            </w:r>
            <w:proofErr w:type="spellStart"/>
            <w:r>
              <w:rPr>
                <w:bCs/>
                <w:lang w:val="uk-UA"/>
              </w:rPr>
              <w:t>інш</w:t>
            </w:r>
            <w:proofErr w:type="spellEnd"/>
            <w:r>
              <w:rPr>
                <w:bCs/>
                <w:lang w:val="uk-UA"/>
              </w:rPr>
              <w:t>.;</w:t>
            </w:r>
          </w:p>
          <w:p w:rsidR="00324F91" w:rsidRDefault="007E78F0">
            <w:pPr>
              <w:rPr>
                <w:lang w:val="uk-UA"/>
              </w:rPr>
            </w:pPr>
            <w:r>
              <w:rPr>
                <w:bCs/>
                <w:lang w:val="uk-UA"/>
              </w:rPr>
              <w:t>- інших товарів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251,0</w:t>
            </w:r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Придбання медикаментів та перев’язувальних матеріалів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лікарських засобів, виробів медичного призначення;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210,0</w:t>
            </w:r>
          </w:p>
        </w:tc>
      </w:tr>
      <w:tr w:rsidR="00324F91">
        <w:trPr>
          <w:trHeight w:val="56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24F91" w:rsidRDefault="00324F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4F91" w:rsidRDefault="00324F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Продукти харчування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bCs/>
                <w:lang w:val="uk-UA"/>
              </w:rPr>
              <w:t>-  придбання продуктів харчування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130,0</w:t>
            </w:r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Оплата послуг (крім комунальних):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bCs/>
                <w:lang w:val="uk-UA"/>
              </w:rPr>
              <w:t>Згідно заключних договорів на оплату послуг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124,0</w:t>
            </w:r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24F91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Видатки на відрядження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послуги теплопостачання;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оплата водопостачання і водовідведення;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оплата електроенергії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оплата природного газу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1338,0</w:t>
            </w:r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Видатки на оплату праці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згідно штатного розпису (заробітна плата і нарахування на оплату праці)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8508,0</w:t>
            </w:r>
          </w:p>
        </w:tc>
      </w:tr>
      <w:tr w:rsidR="00324F91">
        <w:trPr>
          <w:trHeight w:val="56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Інші виплати населенню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відшкодування витрат на виплату пільгових пенсій;</w:t>
            </w: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відшкодування витрат по забезпеченню інсулінозалежних хворих(нецукровий діабет)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інші виплати населенню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389,0</w:t>
            </w:r>
          </w:p>
          <w:p w:rsidR="00324F91" w:rsidRDefault="00324F91">
            <w:pPr>
              <w:pStyle w:val="a4"/>
              <w:jc w:val="center"/>
              <w:rPr>
                <w:rFonts w:cs="Calibri"/>
                <w:lang w:val="uk-UA"/>
              </w:rPr>
            </w:pPr>
          </w:p>
        </w:tc>
      </w:tr>
      <w:tr w:rsidR="00324F91">
        <w:trPr>
          <w:trHeight w:val="118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  <w:p w:rsidR="00324F91" w:rsidRDefault="00324F91">
            <w:pPr>
              <w:rPr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Інші поточні видатки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сплата податків, зборів, обов’язкових платежів, штрафів, пені тощо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402,0</w:t>
            </w:r>
          </w:p>
        </w:tc>
      </w:tr>
      <w:tr w:rsidR="00324F91">
        <w:trPr>
          <w:trHeight w:val="1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  <w:p w:rsidR="00324F91" w:rsidRDefault="00324F91">
            <w:pPr>
              <w:rPr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rPr>
                <w:rFonts w:cs="Calibri"/>
                <w:lang w:val="uk-UA"/>
              </w:rPr>
            </w:pPr>
          </w:p>
        </w:tc>
      </w:tr>
      <w:tr w:rsidR="00324F91">
        <w:trPr>
          <w:trHeight w:val="1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Капітальні видатки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придбання обладнання і предметів довгострокового користування: </w:t>
            </w:r>
          </w:p>
          <w:p w:rsidR="00324F91" w:rsidRDefault="00324F91">
            <w:pPr>
              <w:rPr>
                <w:bCs/>
                <w:lang w:val="uk-U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Бюджетні кошти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200,0</w:t>
            </w:r>
          </w:p>
        </w:tc>
      </w:tr>
      <w:tr w:rsidR="00324F91">
        <w:trPr>
          <w:trHeight w:val="3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snapToGrid w:val="0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4F91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sz w:val="24"/>
                <w:szCs w:val="24"/>
                <w:lang w:val="uk-UA"/>
              </w:rPr>
              <w:t xml:space="preserve">              11911,0</w:t>
            </w:r>
          </w:p>
        </w:tc>
      </w:tr>
      <w:tr w:rsidR="00324F91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Бюджетні кошти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               11592,0</w:t>
            </w:r>
          </w:p>
        </w:tc>
      </w:tr>
      <w:tr w:rsidR="00324F91">
        <w:trPr>
          <w:trHeight w:val="1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Власні кошти підприємства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91" w:rsidRDefault="00324F91">
            <w:pPr>
              <w:pStyle w:val="a4"/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91" w:rsidRDefault="007E78F0">
            <w:pPr>
              <w:pStyle w:val="a4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319,0</w:t>
            </w:r>
          </w:p>
        </w:tc>
      </w:tr>
    </w:tbl>
    <w:p w:rsidR="00324F91" w:rsidRDefault="00324F9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24F91" w:rsidRDefault="00324F9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24F91" w:rsidRDefault="00324F91">
      <w:pPr>
        <w:ind w:left="708" w:firstLine="708"/>
        <w:rPr>
          <w:b/>
          <w:sz w:val="32"/>
          <w:szCs w:val="28"/>
          <w:lang w:val="uk-UA"/>
        </w:rPr>
      </w:pPr>
    </w:p>
    <w:p w:rsidR="00324F91" w:rsidRPr="000C6A44" w:rsidRDefault="005E71B1" w:rsidP="005E71B1">
      <w:pPr>
        <w:ind w:left="708" w:firstLine="708"/>
        <w:rPr>
          <w:b/>
          <w:lang w:val="uk-UA"/>
        </w:rPr>
      </w:pPr>
      <w:r w:rsidRPr="000C6A44">
        <w:rPr>
          <w:b/>
          <w:lang w:val="uk-UA"/>
        </w:rPr>
        <w:t xml:space="preserve">Головний лікар </w:t>
      </w:r>
    </w:p>
    <w:p w:rsidR="005E71B1" w:rsidRPr="000C6A44" w:rsidRDefault="005E71B1" w:rsidP="005E71B1">
      <w:pPr>
        <w:ind w:left="708" w:firstLine="708"/>
        <w:rPr>
          <w:b/>
          <w:lang w:val="uk-UA"/>
        </w:rPr>
      </w:pPr>
      <w:r w:rsidRPr="000C6A44">
        <w:rPr>
          <w:b/>
          <w:lang w:val="uk-UA"/>
        </w:rPr>
        <w:t>КНП «</w:t>
      </w:r>
      <w:proofErr w:type="spellStart"/>
      <w:r w:rsidRPr="000C6A44">
        <w:rPr>
          <w:b/>
          <w:lang w:val="uk-UA"/>
        </w:rPr>
        <w:t>Срібнянська</w:t>
      </w:r>
      <w:proofErr w:type="spellEnd"/>
      <w:r w:rsidRPr="000C6A44">
        <w:rPr>
          <w:b/>
          <w:lang w:val="uk-UA"/>
        </w:rPr>
        <w:t xml:space="preserve"> ЦЛ» </w:t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bookmarkStart w:id="0" w:name="_GoBack"/>
      <w:bookmarkEnd w:id="0"/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</w:r>
      <w:r w:rsidRPr="000C6A44">
        <w:rPr>
          <w:b/>
          <w:lang w:val="uk-UA"/>
        </w:rPr>
        <w:tab/>
        <w:t>М. ДІДЕНКО</w:t>
      </w:r>
    </w:p>
    <w:sectPr w:rsidR="005E71B1" w:rsidRPr="000C6A44">
      <w:pgSz w:w="16838" w:h="11906" w:orient="landscape"/>
      <w:pgMar w:top="851" w:right="851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C5" w:rsidRDefault="000F63C5">
      <w:r>
        <w:separator/>
      </w:r>
    </w:p>
  </w:endnote>
  <w:endnote w:type="continuationSeparator" w:id="0">
    <w:p w:rsidR="000F63C5" w:rsidRDefault="000F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91" w:rsidRDefault="00324F91">
    <w:pPr>
      <w:pStyle w:val="a3"/>
      <w:jc w:val="right"/>
    </w:pPr>
  </w:p>
  <w:p w:rsidR="00324F91" w:rsidRDefault="00324F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C5" w:rsidRDefault="000F63C5">
      <w:r>
        <w:separator/>
      </w:r>
    </w:p>
  </w:footnote>
  <w:footnote w:type="continuationSeparator" w:id="0">
    <w:p w:rsidR="000F63C5" w:rsidRDefault="000F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2DB4310"/>
    <w:multiLevelType w:val="multilevel"/>
    <w:tmpl w:val="02DB4310"/>
    <w:lvl w:ilvl="0">
      <w:start w:val="13"/>
      <w:numFmt w:val="bullet"/>
      <w:lvlText w:val="—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DE404E"/>
    <w:multiLevelType w:val="multilevel"/>
    <w:tmpl w:val="1FDE404E"/>
    <w:lvl w:ilvl="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94" w:hanging="360"/>
      </w:pPr>
    </w:lvl>
    <w:lvl w:ilvl="2">
      <w:start w:val="1"/>
      <w:numFmt w:val="lowerRoman"/>
      <w:lvlText w:val="%3."/>
      <w:lvlJc w:val="right"/>
      <w:pPr>
        <w:ind w:left="2414" w:hanging="180"/>
      </w:pPr>
    </w:lvl>
    <w:lvl w:ilvl="3">
      <w:start w:val="1"/>
      <w:numFmt w:val="decimal"/>
      <w:lvlText w:val="%4."/>
      <w:lvlJc w:val="left"/>
      <w:pPr>
        <w:ind w:left="3134" w:hanging="360"/>
      </w:pPr>
    </w:lvl>
    <w:lvl w:ilvl="4">
      <w:start w:val="1"/>
      <w:numFmt w:val="lowerLetter"/>
      <w:lvlText w:val="%5."/>
      <w:lvlJc w:val="left"/>
      <w:pPr>
        <w:ind w:left="3854" w:hanging="360"/>
      </w:pPr>
    </w:lvl>
    <w:lvl w:ilvl="5">
      <w:start w:val="1"/>
      <w:numFmt w:val="lowerRoman"/>
      <w:lvlText w:val="%6."/>
      <w:lvlJc w:val="right"/>
      <w:pPr>
        <w:ind w:left="4574" w:hanging="180"/>
      </w:pPr>
    </w:lvl>
    <w:lvl w:ilvl="6">
      <w:start w:val="1"/>
      <w:numFmt w:val="decimal"/>
      <w:lvlText w:val="%7."/>
      <w:lvlJc w:val="left"/>
      <w:pPr>
        <w:ind w:left="5294" w:hanging="360"/>
      </w:pPr>
    </w:lvl>
    <w:lvl w:ilvl="7">
      <w:start w:val="1"/>
      <w:numFmt w:val="lowerLetter"/>
      <w:lvlText w:val="%8."/>
      <w:lvlJc w:val="left"/>
      <w:pPr>
        <w:ind w:left="6014" w:hanging="360"/>
      </w:pPr>
    </w:lvl>
    <w:lvl w:ilvl="8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F"/>
    <w:rsid w:val="000C6A44"/>
    <w:rsid w:val="000D5387"/>
    <w:rsid w:val="000F63C5"/>
    <w:rsid w:val="00324F91"/>
    <w:rsid w:val="003E4DDB"/>
    <w:rsid w:val="0040084C"/>
    <w:rsid w:val="004506E7"/>
    <w:rsid w:val="005D2C1E"/>
    <w:rsid w:val="005E71B1"/>
    <w:rsid w:val="0070731B"/>
    <w:rsid w:val="007D1DBF"/>
    <w:rsid w:val="007D70A8"/>
    <w:rsid w:val="007E78F0"/>
    <w:rsid w:val="009226F3"/>
    <w:rsid w:val="00AE1F5F"/>
    <w:rsid w:val="00BE6C75"/>
    <w:rsid w:val="00E14DD5"/>
    <w:rsid w:val="0FFD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pPr>
      <w:tabs>
        <w:tab w:val="left" w:pos="2100"/>
      </w:tabs>
      <w:suppressAutoHyphens/>
      <w:spacing w:before="240" w:after="60"/>
      <w:ind w:left="2100" w:hanging="1800"/>
      <w:outlineLvl w:val="6"/>
    </w:pPr>
    <w:rPr>
      <w:rFonts w:ascii="Calibri" w:hAnsi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pPr>
      <w:tabs>
        <w:tab w:val="center" w:pos="4677"/>
        <w:tab w:val="right" w:pos="9355"/>
      </w:tabs>
      <w:suppressAutoHyphens/>
    </w:pPr>
    <w:rPr>
      <w:sz w:val="20"/>
      <w:szCs w:val="20"/>
      <w:lang w:val="uk-UA" w:eastAsia="zh-CN"/>
    </w:rPr>
  </w:style>
  <w:style w:type="character" w:customStyle="1" w:styleId="70">
    <w:name w:val="Заголовок 7 Знак"/>
    <w:basedOn w:val="a0"/>
    <w:link w:val="7"/>
    <w:rPr>
      <w:rFonts w:ascii="Calibri" w:eastAsia="Times New Roman" w:hAnsi="Calibri" w:cs="Times New Roman"/>
      <w:sz w:val="24"/>
      <w:szCs w:val="24"/>
      <w:lang w:val="uk-UA" w:eastAsia="zh-CN"/>
    </w:rPr>
  </w:style>
  <w:style w:type="paragraph" w:styleId="a4">
    <w:name w:val="No Spacing"/>
    <w:link w:val="a5"/>
    <w:uiPriority w:val="1"/>
    <w:qFormat/>
    <w:pPr>
      <w:suppressAutoHyphens/>
    </w:pPr>
    <w:rPr>
      <w:rFonts w:ascii="Calibri" w:eastAsia="Calibri" w:hAnsi="Calibri" w:cs="Times New Roman"/>
      <w:sz w:val="22"/>
      <w:szCs w:val="22"/>
      <w:lang w:val="ru-RU" w:eastAsia="zh-CN"/>
    </w:rPr>
  </w:style>
  <w:style w:type="character" w:customStyle="1" w:styleId="a5">
    <w:name w:val="Без интервала Знак"/>
    <w:link w:val="a4"/>
    <w:uiPriority w:val="1"/>
    <w:rPr>
      <w:rFonts w:ascii="Calibri" w:eastAsia="Calibri" w:hAnsi="Calibri" w:cs="Times New Roman"/>
      <w:lang w:eastAsia="zh-CN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21" w:lineRule="exact"/>
      <w:ind w:firstLine="614"/>
    </w:pPr>
    <w:rPr>
      <w:lang w:eastAsia="zh-CN"/>
    </w:rPr>
  </w:style>
  <w:style w:type="character" w:customStyle="1" w:styleId="a6">
    <w:name w:val="Нижний колонтитул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link w:val="a3"/>
    <w:qFormat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pPr>
      <w:tabs>
        <w:tab w:val="left" w:pos="2100"/>
      </w:tabs>
      <w:suppressAutoHyphens/>
      <w:spacing w:before="240" w:after="60"/>
      <w:ind w:left="2100" w:hanging="1800"/>
      <w:outlineLvl w:val="6"/>
    </w:pPr>
    <w:rPr>
      <w:rFonts w:ascii="Calibri" w:hAnsi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pPr>
      <w:tabs>
        <w:tab w:val="center" w:pos="4677"/>
        <w:tab w:val="right" w:pos="9355"/>
      </w:tabs>
      <w:suppressAutoHyphens/>
    </w:pPr>
    <w:rPr>
      <w:sz w:val="20"/>
      <w:szCs w:val="20"/>
      <w:lang w:val="uk-UA" w:eastAsia="zh-CN"/>
    </w:rPr>
  </w:style>
  <w:style w:type="character" w:customStyle="1" w:styleId="70">
    <w:name w:val="Заголовок 7 Знак"/>
    <w:basedOn w:val="a0"/>
    <w:link w:val="7"/>
    <w:rPr>
      <w:rFonts w:ascii="Calibri" w:eastAsia="Times New Roman" w:hAnsi="Calibri" w:cs="Times New Roman"/>
      <w:sz w:val="24"/>
      <w:szCs w:val="24"/>
      <w:lang w:val="uk-UA" w:eastAsia="zh-CN"/>
    </w:rPr>
  </w:style>
  <w:style w:type="paragraph" w:styleId="a4">
    <w:name w:val="No Spacing"/>
    <w:link w:val="a5"/>
    <w:uiPriority w:val="1"/>
    <w:qFormat/>
    <w:pPr>
      <w:suppressAutoHyphens/>
    </w:pPr>
    <w:rPr>
      <w:rFonts w:ascii="Calibri" w:eastAsia="Calibri" w:hAnsi="Calibri" w:cs="Times New Roman"/>
      <w:sz w:val="22"/>
      <w:szCs w:val="22"/>
      <w:lang w:val="ru-RU" w:eastAsia="zh-CN"/>
    </w:rPr>
  </w:style>
  <w:style w:type="character" w:customStyle="1" w:styleId="a5">
    <w:name w:val="Без интервала Знак"/>
    <w:link w:val="a4"/>
    <w:uiPriority w:val="1"/>
    <w:rPr>
      <w:rFonts w:ascii="Calibri" w:eastAsia="Calibri" w:hAnsi="Calibri" w:cs="Times New Roman"/>
      <w:lang w:eastAsia="zh-CN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21" w:lineRule="exact"/>
      <w:ind w:firstLine="614"/>
    </w:pPr>
    <w:rPr>
      <w:lang w:eastAsia="zh-CN"/>
    </w:rPr>
  </w:style>
  <w:style w:type="character" w:customStyle="1" w:styleId="a6">
    <w:name w:val="Нижний колонтитул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link w:val="a3"/>
    <w:qFormat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7826</Words>
  <Characters>4461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3</cp:revision>
  <cp:lastPrinted>2020-10-22T05:44:00Z</cp:lastPrinted>
  <dcterms:created xsi:type="dcterms:W3CDTF">2020-10-21T09:54:00Z</dcterms:created>
  <dcterms:modified xsi:type="dcterms:W3CDTF">2020-10-22T05:44:00Z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